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outlineLvl w:val="0"/>
        <w:rPr>
          <w:rFonts w:hint="eastAsia" w:ascii="仿宋" w:hAnsi="仿宋" w:eastAsia="仿宋" w:cs="仿宋"/>
          <w:color w:val="auto"/>
          <w:kern w:val="0"/>
          <w:sz w:val="36"/>
          <w:szCs w:val="36"/>
          <w:lang w:val="zh-TW"/>
        </w:rPr>
      </w:pPr>
      <w:r>
        <w:rPr>
          <w:rFonts w:hint="eastAsia" w:ascii="仿宋" w:hAnsi="仿宋" w:eastAsia="仿宋" w:cs="仿宋"/>
          <w:b/>
          <w:kern w:val="36"/>
          <w:sz w:val="36"/>
          <w:szCs w:val="36"/>
        </w:rPr>
        <w:t>关于进一步加强本科生培养过程管理的通知</w:t>
      </w:r>
    </w:p>
    <w:p>
      <w:pPr>
        <w:spacing w:line="520" w:lineRule="exact"/>
        <w:jc w:val="left"/>
        <w:outlineLvl w:val="0"/>
        <w:rPr>
          <w:rFonts w:hint="eastAsia" w:ascii="仿宋" w:hAnsi="仿宋" w:eastAsia="仿宋" w:cs="仿宋"/>
          <w:color w:val="auto"/>
          <w:kern w:val="0"/>
          <w:sz w:val="30"/>
          <w:szCs w:val="30"/>
          <w:lang w:val="zh-TW"/>
        </w:rPr>
      </w:pPr>
    </w:p>
    <w:p>
      <w:pPr>
        <w:spacing w:line="520" w:lineRule="exact"/>
        <w:jc w:val="left"/>
        <w:outlineLvl w:val="0"/>
        <w:rPr>
          <w:rFonts w:hint="eastAsia" w:ascii="仿宋" w:hAnsi="仿宋" w:eastAsia="仿宋" w:cs="仿宋"/>
          <w:color w:val="auto"/>
          <w:kern w:val="0"/>
          <w:sz w:val="30"/>
          <w:szCs w:val="30"/>
          <w:lang w:val="zh-TW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zh-TW"/>
        </w:rPr>
        <w:t>各教学单位：</w:t>
      </w:r>
    </w:p>
    <w:p>
      <w:pPr>
        <w:spacing w:beforeLines="50" w:afterLines="50" w:line="520" w:lineRule="exact"/>
        <w:ind w:firstLine="600" w:firstLineChars="200"/>
        <w:outlineLvl w:val="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按照广东省教育厅的部署，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zh-TW"/>
        </w:rPr>
        <w:t>我校本科教学工作审核评估专家进校时间为2018年10月28日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～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zh-TW" w:eastAsia="zh-TW"/>
        </w:rPr>
        <w:t>11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zh-TW"/>
        </w:rPr>
        <w:t>月1日，预评估专家进校时间为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9月9日～12日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zh-TW"/>
        </w:rPr>
        <w:t>。为确保审核评估工作顺利开展，要求</w:t>
      </w:r>
      <w:r>
        <w:rPr>
          <w:rFonts w:hint="eastAsia" w:ascii="仿宋" w:hAnsi="仿宋" w:eastAsia="仿宋" w:cs="仿宋"/>
          <w:kern w:val="0"/>
          <w:sz w:val="30"/>
          <w:szCs w:val="30"/>
        </w:rPr>
        <w:t>各单位以高度的责任感和主人翁精神，本着“以评促建、以评促改、以评促管、评建结合、重在建设”的原则，进一步加强本科生培养过程管理，提高教学质量。现就相关事宜和要求通知如下：</w:t>
      </w:r>
    </w:p>
    <w:p>
      <w:pPr>
        <w:widowControl/>
        <w:spacing w:beforeLines="50" w:afterLines="50" w:line="520" w:lineRule="exact"/>
        <w:ind w:firstLine="562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kern w:val="0"/>
          <w:sz w:val="30"/>
          <w:szCs w:val="30"/>
        </w:rPr>
        <w:t>一、严格执行课堂教学规范和听课制度，提高课堂教学质量</w:t>
      </w:r>
    </w:p>
    <w:p>
      <w:pPr>
        <w:widowControl/>
        <w:spacing w:beforeLines="50" w:afterLines="50" w:line="520" w:lineRule="exact"/>
        <w:ind w:firstLine="562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教师教学各环节要按照《广东药科大学课堂教学规范》（广药大教〔201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kern w:val="0"/>
          <w:sz w:val="30"/>
          <w:szCs w:val="30"/>
        </w:rPr>
        <w:t>〕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kern w:val="0"/>
          <w:sz w:val="30"/>
          <w:szCs w:val="30"/>
        </w:rPr>
        <w:t>号，附件1）、《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广东药科大学本科实验教学管理办法</w:t>
      </w:r>
      <w:r>
        <w:rPr>
          <w:rFonts w:hint="eastAsia" w:ascii="仿宋" w:hAnsi="仿宋" w:eastAsia="仿宋" w:cs="仿宋"/>
          <w:kern w:val="0"/>
          <w:sz w:val="30"/>
          <w:szCs w:val="30"/>
        </w:rPr>
        <w:t>》（广药大教〔201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kern w:val="0"/>
          <w:sz w:val="30"/>
          <w:szCs w:val="30"/>
        </w:rPr>
        <w:t>〕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0"/>
          <w:szCs w:val="30"/>
        </w:rPr>
        <w:t>号，附件2）文件规定严格执行。同时，还应注意以下几点：</w:t>
      </w:r>
    </w:p>
    <w:p>
      <w:pPr>
        <w:widowControl/>
        <w:spacing w:line="520" w:lineRule="exact"/>
        <w:ind w:firstLine="56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（一）加强教学内容设计，讲授内容紧扣大纲，讲课熟练，内容丰富，条理清晰，讲解无误，语言生动，重点突出。</w:t>
      </w:r>
    </w:p>
    <w:p>
      <w:pPr>
        <w:widowControl/>
        <w:spacing w:line="520" w:lineRule="exact"/>
        <w:ind w:firstLine="56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（二）加强课堂教学设计，采用多种教学方法，提高教学效果。课堂教学注意避免“一言堂”，鼓励教师采用讨论教学、合作学习、研究性、</w:t>
      </w:r>
      <w:r>
        <w:rPr>
          <w:rFonts w:hint="eastAsia" w:ascii="仿宋" w:hAnsi="仿宋" w:eastAsia="仿宋" w:cs="仿宋"/>
          <w:kern w:val="0"/>
          <w:sz w:val="30"/>
          <w:szCs w:val="30"/>
          <w:lang w:eastAsia="zh-TW"/>
        </w:rPr>
        <w:t>案例式</w:t>
      </w:r>
      <w:r>
        <w:rPr>
          <w:rFonts w:hint="eastAsia" w:ascii="仿宋" w:hAnsi="仿宋" w:eastAsia="仿宋" w:cs="仿宋"/>
          <w:kern w:val="0"/>
          <w:sz w:val="30"/>
          <w:szCs w:val="30"/>
        </w:rPr>
        <w:t>等教学方法，</w:t>
      </w:r>
      <w:r>
        <w:rPr>
          <w:rFonts w:hint="eastAsia" w:ascii="仿宋" w:hAnsi="仿宋" w:eastAsia="仿宋" w:cs="仿宋"/>
          <w:kern w:val="0"/>
          <w:sz w:val="30"/>
          <w:szCs w:val="30"/>
          <w:lang w:eastAsia="zh-TW"/>
        </w:rPr>
        <w:t>与实践相结合</w:t>
      </w:r>
      <w:r>
        <w:rPr>
          <w:rFonts w:hint="eastAsia" w:ascii="仿宋" w:hAnsi="仿宋" w:eastAsia="仿宋" w:cs="仿宋"/>
          <w:kern w:val="0"/>
          <w:sz w:val="30"/>
          <w:szCs w:val="30"/>
        </w:rPr>
        <w:t>，增强师生互动，启发学生思考。</w:t>
      </w:r>
    </w:p>
    <w:p>
      <w:pPr>
        <w:widowControl/>
        <w:spacing w:line="520" w:lineRule="exact"/>
        <w:ind w:firstLine="56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（三）教师使用多媒体课件教学应注重动态性和实效性，充分发挥多媒体教学辅助作用，杜绝依赖多媒体课件、依靠读课件讲课，确保教学质量。</w:t>
      </w:r>
    </w:p>
    <w:p>
      <w:pPr>
        <w:spacing w:line="540" w:lineRule="exact"/>
        <w:ind w:left="1" w:firstLine="597" w:firstLineChars="199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（四）实验指导教师实验示范操作应熟练、规范，对学生进行全程指导，坚守岗位，认真巡视，及时辅导、解答学生提出的问题。实验报告批阅工整清晰，评分必须有依据。实验教学大纲、考核方案（含评分标准）、实验室工作日志等教学资料齐备、填写规范。 </w:t>
      </w:r>
    </w:p>
    <w:p>
      <w:pPr>
        <w:spacing w:line="540" w:lineRule="exact"/>
        <w:ind w:left="1" w:firstLine="597" w:firstLineChars="199"/>
        <w:rPr>
          <w:rFonts w:hint="eastAsia" w:ascii="仿宋" w:hAnsi="仿宋" w:eastAsia="仿宋" w:cs="仿宋"/>
          <w:sz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（五）各学院应积极推</w:t>
      </w:r>
      <w:r>
        <w:rPr>
          <w:rFonts w:hint="eastAsia" w:ascii="仿宋" w:hAnsi="仿宋" w:eastAsia="仿宋" w:cs="仿宋"/>
          <w:sz w:val="30"/>
        </w:rPr>
        <w:t>进实验室开放，建立实验室开放的档案（开放的范围、时间、内容和学生人数等）；组织综合性和设计性实验认定，加大综合性、设计性实验比例，原则上要求每门实验课程至少有一个综合性、设计性实验项目，加强对学生创新精神和实践能力的培养。</w:t>
      </w:r>
    </w:p>
    <w:p>
      <w:pPr>
        <w:widowControl/>
        <w:spacing w:line="520" w:lineRule="exact"/>
        <w:ind w:firstLine="56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（六）坚持集体备课制度，定期开展教研活动。要求系（教研室）每学期应组织不少于3次的教研活动，开展集体备课、新开课试讲、教学改革研究以及教学方法探讨等活动，做好记录并存档。</w:t>
      </w:r>
    </w:p>
    <w:p>
      <w:pPr>
        <w:widowControl/>
        <w:spacing w:line="520" w:lineRule="exact"/>
        <w:ind w:firstLine="56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（七）严格执行《广东药科大学三级听课制度》（广药大教〔201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kern w:val="0"/>
          <w:sz w:val="30"/>
          <w:szCs w:val="30"/>
        </w:rPr>
        <w:t>〕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30"/>
          <w:szCs w:val="30"/>
        </w:rPr>
        <w:t>号，附件3），</w:t>
      </w:r>
      <w:r>
        <w:rPr>
          <w:rFonts w:hint="eastAsia" w:ascii="仿宋" w:hAnsi="仿宋" w:eastAsia="仿宋" w:cs="仿宋"/>
          <w:sz w:val="30"/>
          <w:szCs w:val="30"/>
        </w:rPr>
        <w:t>各学院、部（馆）党政领导每学期听课不少于6学时，系（教研室）正副主任每学期不少于8学时。</w:t>
      </w:r>
    </w:p>
    <w:p>
      <w:pPr>
        <w:spacing w:beforeLines="50" w:afterLines="50" w:line="520" w:lineRule="exact"/>
        <w:ind w:firstLine="602" w:firstLineChars="200"/>
        <w:outlineLvl w:val="0"/>
        <w:rPr>
          <w:rFonts w:hint="eastAsia" w:ascii="仿宋" w:hAnsi="仿宋" w:eastAsia="仿宋" w:cs="仿宋"/>
          <w:b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kern w:val="0"/>
          <w:sz w:val="30"/>
          <w:szCs w:val="30"/>
        </w:rPr>
        <w:t>二、提高试卷质量，开展试卷自查</w:t>
      </w:r>
    </w:p>
    <w:p>
      <w:pPr>
        <w:spacing w:line="520" w:lineRule="exact"/>
        <w:ind w:firstLine="600" w:firstLineChars="200"/>
        <w:outlineLvl w:val="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(一) 确保2017-2018学年试卷质量</w:t>
      </w:r>
      <w:r>
        <w:rPr>
          <w:rFonts w:hint="eastAsia" w:ascii="仿宋" w:hAnsi="仿宋" w:eastAsia="仿宋" w:cs="仿宋"/>
          <w:b/>
          <w:kern w:val="0"/>
          <w:sz w:val="30"/>
          <w:szCs w:val="30"/>
        </w:rPr>
        <w:br w:type="textWrapping"/>
      </w: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    2017-2018学年试卷是审核评估检查的必查项目,本学年各教学单位的试卷命题、阅卷、质量分析、归档等相关工作必须严格按照《广东药科大学学生成绩考核管理规定（修订）》（广药大〔2017〕121号，以下简称《成绩考核规定》，附件4）执行。</w:t>
      </w:r>
      <w:r>
        <w:rPr>
          <w:rFonts w:hint="eastAsia" w:ascii="仿宋" w:hAnsi="仿宋" w:eastAsia="仿宋" w:cs="仿宋"/>
          <w:kern w:val="0"/>
          <w:sz w:val="30"/>
          <w:szCs w:val="30"/>
        </w:rPr>
        <w:br w:type="textWrapping"/>
      </w: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    1. 试卷重复率。近三年试卷重复率≦30%； A、B两套试题难易程度、题目份量相当，重复率≦20%。</w:t>
      </w:r>
    </w:p>
    <w:p>
      <w:pPr>
        <w:spacing w:line="520" w:lineRule="exact"/>
        <w:ind w:firstLine="6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2. 考试命题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。命题内容</w:t>
      </w:r>
      <w:r>
        <w:rPr>
          <w:rFonts w:hint="eastAsia" w:ascii="仿宋" w:hAnsi="仿宋" w:eastAsia="仿宋" w:cs="仿宋"/>
          <w:kern w:val="0"/>
          <w:sz w:val="30"/>
          <w:szCs w:val="30"/>
        </w:rPr>
        <w:t>要符合培养目标和教学大纲要求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kern w:val="0"/>
          <w:sz w:val="30"/>
          <w:szCs w:val="30"/>
        </w:rPr>
        <w:t>涵盖该课程3/4以上的基本知识，重点考查学生对基本知识、基本理论、基本技能的掌握程度及学生分析问题、解决问题的能力，并注重考题对培养学生创新能力的引导作用。同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kern w:val="0"/>
          <w:sz w:val="30"/>
          <w:szCs w:val="30"/>
        </w:rPr>
        <w:t>门课程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kern w:val="0"/>
          <w:sz w:val="30"/>
          <w:szCs w:val="30"/>
        </w:rPr>
        <w:t>教学大纲不同，命题不能相同。</w:t>
      </w:r>
      <w:r>
        <w:rPr>
          <w:rFonts w:hint="eastAsia" w:ascii="仿宋" w:hAnsi="仿宋" w:eastAsia="仿宋" w:cs="仿宋"/>
          <w:kern w:val="0"/>
          <w:sz w:val="30"/>
          <w:szCs w:val="30"/>
        </w:rPr>
        <w:br w:type="textWrapping"/>
      </w: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    3. 阅卷过程。教师采用流水作业程序阅卷,评卷要求严格按照《成绩考核制度》第六章第二十四条的规定执行。卷面分数必须准确无误，分数如有改动，改动人必须签名。</w:t>
      </w:r>
      <w:r>
        <w:rPr>
          <w:rFonts w:hint="eastAsia" w:ascii="仿宋" w:hAnsi="仿宋" w:eastAsia="仿宋" w:cs="仿宋"/>
          <w:kern w:val="0"/>
          <w:sz w:val="30"/>
          <w:szCs w:val="30"/>
        </w:rPr>
        <w:br w:type="textWrapping"/>
      </w: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    4. 考试质量分析。教学单位在必修课、专业特色课考试后2周内，抽取1门课程的卷面成绩进行分析,形成《试题质量分析总结表》，作为系（教研室）必备教学文件备查。主讲教师在成绩录入完毕后，根据试题质量、整体成绩分布情况，对授课班级的考试结果和教学效果进行分析，填写《广东药科大学考试成绩分析表》作为系（教研室）的必备教学文件保存备查。</w:t>
      </w:r>
      <w:r>
        <w:rPr>
          <w:rFonts w:hint="eastAsia" w:ascii="仿宋" w:hAnsi="仿宋" w:eastAsia="仿宋" w:cs="仿宋"/>
          <w:kern w:val="0"/>
          <w:sz w:val="30"/>
          <w:szCs w:val="30"/>
        </w:rPr>
        <w:br w:type="textWrapping"/>
      </w: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    5. 平时成绩的分类记录。要求系（教研室）在评定平时成绩（理论平时与实验平时）时应有依据，并有相应的原始记录备查，具体评定要求按照《成绩考核规定》第七章第二十五条执行。</w:t>
      </w:r>
      <w:r>
        <w:rPr>
          <w:rFonts w:hint="eastAsia" w:ascii="仿宋" w:hAnsi="仿宋" w:eastAsia="仿宋" w:cs="仿宋"/>
          <w:kern w:val="0"/>
          <w:sz w:val="30"/>
          <w:szCs w:val="30"/>
        </w:rPr>
        <w:br w:type="textWrapping"/>
      </w: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    6. 试卷存档。答卷和考试材料需按照《成绩考核制度》第九章相关规定进行装订和存档。</w:t>
      </w:r>
      <w:r>
        <w:rPr>
          <w:rFonts w:hint="eastAsia" w:ascii="仿宋" w:hAnsi="仿宋" w:eastAsia="仿宋" w:cs="仿宋"/>
          <w:kern w:val="0"/>
          <w:sz w:val="30"/>
          <w:szCs w:val="30"/>
        </w:rPr>
        <w:br w:type="textWrapping"/>
      </w: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    7. 试卷档案自查。各系（教研室）在新学期开学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0"/>
          <w:szCs w:val="30"/>
        </w:rPr>
        <w:t>周内，对上一学期所承担的所有课程考试进行自查，形成《试卷自查情况汇报表》并存档。</w:t>
      </w:r>
      <w:r>
        <w:rPr>
          <w:rFonts w:hint="eastAsia" w:ascii="仿宋" w:hAnsi="仿宋" w:eastAsia="仿宋" w:cs="仿宋"/>
          <w:kern w:val="0"/>
          <w:sz w:val="30"/>
          <w:szCs w:val="30"/>
        </w:rPr>
        <w:br w:type="textWrapping"/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Cs/>
          <w:kern w:val="0"/>
          <w:sz w:val="30"/>
          <w:szCs w:val="30"/>
        </w:rPr>
        <w:t>（二）自查2015-2017两学年试卷档案</w:t>
      </w:r>
      <w:r>
        <w:rPr>
          <w:rFonts w:hint="eastAsia" w:ascii="仿宋" w:hAnsi="仿宋" w:eastAsia="仿宋" w:cs="仿宋"/>
          <w:bCs/>
          <w:kern w:val="0"/>
          <w:sz w:val="30"/>
          <w:szCs w:val="30"/>
        </w:rPr>
        <w:br w:type="textWrapping"/>
      </w: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    各教学单位须在</w:t>
      </w:r>
      <w:r>
        <w:rPr>
          <w:rFonts w:hint="eastAsia" w:ascii="仿宋" w:hAnsi="仿宋" w:eastAsia="仿宋" w:cs="仿宋"/>
          <w:b/>
          <w:bCs/>
          <w:kern w:val="0"/>
          <w:sz w:val="30"/>
          <w:szCs w:val="30"/>
        </w:rPr>
        <w:t>2018年3月31日</w:t>
      </w:r>
      <w:r>
        <w:rPr>
          <w:rFonts w:hint="eastAsia" w:ascii="仿宋" w:hAnsi="仿宋" w:eastAsia="仿宋" w:cs="仿宋"/>
          <w:kern w:val="0"/>
          <w:sz w:val="30"/>
          <w:szCs w:val="30"/>
        </w:rPr>
        <w:t>前完成对2015-2016学年、2016-2017学年试卷档案的自查工作，要求试卷档案精准规范、无错漏，特殊情况另附说明。2018年4月学校组织专家对试卷档案全面检查。</w:t>
      </w:r>
    </w:p>
    <w:p>
      <w:pPr>
        <w:widowControl/>
        <w:spacing w:beforeLines="50" w:afterLines="50" w:line="520" w:lineRule="exact"/>
        <w:ind w:firstLine="560"/>
        <w:jc w:val="left"/>
        <w:rPr>
          <w:rFonts w:hint="eastAsia" w:ascii="仿宋" w:hAnsi="仿宋" w:eastAsia="仿宋" w:cs="仿宋"/>
          <w:b/>
          <w:kern w:val="0"/>
          <w:sz w:val="30"/>
          <w:szCs w:val="30"/>
        </w:rPr>
      </w:pPr>
    </w:p>
    <w:p>
      <w:pPr>
        <w:widowControl/>
        <w:spacing w:beforeLines="50" w:afterLines="50" w:line="520" w:lineRule="exact"/>
        <w:ind w:firstLine="560"/>
        <w:jc w:val="left"/>
        <w:rPr>
          <w:rFonts w:hint="eastAsia" w:ascii="仿宋" w:hAnsi="仿宋" w:eastAsia="仿宋" w:cs="仿宋"/>
          <w:b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kern w:val="0"/>
          <w:sz w:val="30"/>
          <w:szCs w:val="30"/>
        </w:rPr>
        <w:t>三、提高毕业论文质量，加强规范管理</w:t>
      </w:r>
    </w:p>
    <w:p>
      <w:pPr>
        <w:widowControl/>
        <w:spacing w:line="520" w:lineRule="exact"/>
        <w:ind w:firstLine="750" w:firstLineChars="250"/>
        <w:rPr>
          <w:rFonts w:hint="eastAsia" w:ascii="仿宋" w:hAnsi="仿宋" w:eastAsia="仿宋" w:cs="仿宋"/>
          <w:bCs/>
          <w:kern w:val="0"/>
          <w:sz w:val="30"/>
          <w:szCs w:val="30"/>
        </w:rPr>
      </w:pPr>
      <w:r>
        <w:rPr>
          <w:rFonts w:hint="eastAsia" w:ascii="仿宋" w:hAnsi="仿宋" w:eastAsia="仿宋" w:cs="仿宋"/>
          <w:bCs/>
          <w:kern w:val="0"/>
          <w:sz w:val="30"/>
          <w:szCs w:val="30"/>
        </w:rPr>
        <w:t>(一) 确保2018届毕业论文（设计）质量</w:t>
      </w:r>
    </w:p>
    <w:p>
      <w:pPr>
        <w:widowControl/>
        <w:spacing w:line="520" w:lineRule="exact"/>
        <w:ind w:firstLine="750" w:firstLineChars="25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1.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0"/>
          <w:szCs w:val="30"/>
        </w:rPr>
        <w:t>强化组织管理。2018届毕业论文（设计）是审核评估专家进校必查项目之一。各学院必须严格按照《广东药科大学本科毕业论文（设计）工作条例（修订）》（广药大教〔201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kern w:val="0"/>
          <w:sz w:val="30"/>
          <w:szCs w:val="30"/>
        </w:rPr>
        <w:t>〕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30"/>
          <w:szCs w:val="30"/>
        </w:rPr>
        <w:t>号，附件5）执行，明确学院、系（教研室）、指导教师职责，规范工作流程。根据各专业培养目标和教学要求，对毕业论文(设计)的规格、质量(难度)及进度要求做出明确的规定，在学校毕业论文(设计)要求的基础上制定</w:t>
      </w:r>
      <w:r>
        <w:rPr>
          <w:rFonts w:hint="eastAsia" w:ascii="仿宋" w:hAnsi="仿宋" w:eastAsia="仿宋" w:cs="仿宋"/>
          <w:bCs/>
          <w:kern w:val="0"/>
          <w:sz w:val="30"/>
          <w:szCs w:val="30"/>
        </w:rPr>
        <w:t>实施细则</w:t>
      </w:r>
      <w:r>
        <w:rPr>
          <w:rFonts w:hint="eastAsia" w:ascii="仿宋" w:hAnsi="仿宋" w:eastAsia="仿宋" w:cs="仿宋"/>
          <w:kern w:val="0"/>
          <w:sz w:val="30"/>
          <w:szCs w:val="30"/>
        </w:rPr>
        <w:t>。</w:t>
      </w:r>
    </w:p>
    <w:p>
      <w:pPr>
        <w:spacing w:line="520" w:lineRule="exact"/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2.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0"/>
          <w:szCs w:val="30"/>
        </w:rPr>
        <w:t>重视专业契合度。选题必须符合专业培养目标，达到教学要求，体现本专业训练的内容。各学院应加强对学生毕业论文（设计）选题、开题、撰写、答辩等方面的指导，切实提高论文质量。</w:t>
      </w:r>
    </w:p>
    <w:p>
      <w:pPr>
        <w:spacing w:line="520" w:lineRule="exact"/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3.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0"/>
          <w:szCs w:val="30"/>
        </w:rPr>
        <w:t>规范带教。</w:t>
      </w:r>
      <w:r>
        <w:rPr>
          <w:rFonts w:hint="eastAsia" w:ascii="仿宋" w:hAnsi="仿宋" w:eastAsia="仿宋" w:cs="仿宋"/>
          <w:sz w:val="30"/>
          <w:szCs w:val="30"/>
        </w:rPr>
        <w:t>指导教师应由中级（含）以上职称的教师担任</w:t>
      </w:r>
      <w:r>
        <w:rPr>
          <w:rFonts w:hint="eastAsia" w:ascii="仿宋" w:hAnsi="仿宋" w:eastAsia="仿宋" w:cs="仿宋"/>
          <w:kern w:val="0"/>
          <w:sz w:val="30"/>
          <w:szCs w:val="30"/>
        </w:rPr>
        <w:t>，且同时间段内1名教师原则上指导不超过6名学生。</w:t>
      </w:r>
      <w:r>
        <w:rPr>
          <w:rFonts w:hint="eastAsia" w:ascii="仿宋" w:hAnsi="仿宋" w:eastAsia="仿宋" w:cs="仿宋"/>
          <w:sz w:val="30"/>
          <w:szCs w:val="30"/>
        </w:rPr>
        <w:t>对在校外做毕业论文(设计)的学生，可由学院聘请外单位相当于中级（含）以上职称的人员作为毕业论文（设计）指导教师（</w:t>
      </w:r>
      <w:r>
        <w:rPr>
          <w:rFonts w:hint="eastAsia" w:ascii="仿宋" w:hAnsi="仿宋" w:eastAsia="仿宋" w:cs="仿宋"/>
          <w:kern w:val="0"/>
          <w:sz w:val="30"/>
          <w:szCs w:val="30"/>
        </w:rPr>
        <w:t>学院应收集其学历学位、职称、工作单位、联系电话等信息资料</w:t>
      </w:r>
      <w:r>
        <w:rPr>
          <w:rFonts w:hint="eastAsia" w:ascii="仿宋" w:hAnsi="仿宋" w:eastAsia="仿宋" w:cs="仿宋"/>
          <w:sz w:val="30"/>
          <w:szCs w:val="30"/>
        </w:rPr>
        <w:t>）。学院必须指定专人进行检查，掌握进度，协调有关事项，</w:t>
      </w: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确保论文（设计）符合教学要求。 </w:t>
      </w:r>
    </w:p>
    <w:p>
      <w:pPr>
        <w:spacing w:line="520" w:lineRule="exact"/>
        <w:ind w:firstLine="600" w:firstLineChars="200"/>
        <w:rPr>
          <w:rFonts w:hint="eastAsia" w:ascii="仿宋" w:hAnsi="仿宋" w:eastAsia="仿宋" w:cs="仿宋"/>
          <w:bCs/>
          <w:kern w:val="0"/>
          <w:sz w:val="30"/>
          <w:szCs w:val="30"/>
        </w:rPr>
      </w:pPr>
      <w:r>
        <w:rPr>
          <w:rFonts w:hint="eastAsia" w:ascii="仿宋" w:hAnsi="仿宋" w:eastAsia="仿宋" w:cs="仿宋"/>
          <w:bCs/>
          <w:kern w:val="0"/>
          <w:sz w:val="30"/>
          <w:szCs w:val="30"/>
        </w:rPr>
        <w:t>(二)自查2016届、2017届毕业论文（设计）档案资料</w:t>
      </w:r>
    </w:p>
    <w:p>
      <w:pPr>
        <w:spacing w:line="520" w:lineRule="exact"/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各学院应在</w:t>
      </w:r>
      <w:r>
        <w:rPr>
          <w:rFonts w:hint="eastAsia" w:ascii="仿宋" w:hAnsi="仿宋" w:eastAsia="仿宋" w:cs="仿宋"/>
          <w:b/>
          <w:kern w:val="0"/>
          <w:sz w:val="30"/>
          <w:szCs w:val="30"/>
        </w:rPr>
        <w:t>2018年3月31日</w:t>
      </w:r>
      <w:r>
        <w:rPr>
          <w:rFonts w:hint="eastAsia" w:ascii="仿宋" w:hAnsi="仿宋" w:eastAsia="仿宋" w:cs="仿宋"/>
          <w:kern w:val="0"/>
          <w:sz w:val="30"/>
          <w:szCs w:val="30"/>
        </w:rPr>
        <w:t>前完成2016、2017届毕业论文（设计）档案的自查工作，要求档案规范、完整、无错漏。学校将于2018年4月组织专家进行全面检查。</w:t>
      </w:r>
    </w:p>
    <w:p>
      <w:pPr>
        <w:spacing w:beforeLines="50" w:afterLines="50" w:line="520" w:lineRule="exact"/>
        <w:ind w:firstLine="904" w:firstLineChars="300"/>
        <w:rPr>
          <w:rFonts w:hint="eastAsia" w:ascii="仿宋" w:hAnsi="仿宋" w:eastAsia="仿宋" w:cs="仿宋"/>
          <w:b/>
          <w:bCs/>
          <w:kern w:val="0"/>
          <w:sz w:val="30"/>
          <w:szCs w:val="30"/>
        </w:rPr>
      </w:pPr>
    </w:p>
    <w:p>
      <w:pPr>
        <w:spacing w:beforeLines="50" w:afterLines="50" w:line="520" w:lineRule="exact"/>
        <w:ind w:firstLine="904" w:firstLineChars="300"/>
        <w:rPr>
          <w:rFonts w:hint="eastAsia" w:ascii="仿宋" w:hAnsi="仿宋" w:eastAsia="仿宋" w:cs="仿宋"/>
          <w:b/>
          <w:bCs/>
          <w:kern w:val="0"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0"/>
          <w:sz w:val="30"/>
          <w:szCs w:val="30"/>
        </w:rPr>
        <w:t>四、规范实习管理，加强教学实习基地建设</w:t>
      </w:r>
    </w:p>
    <w:p>
      <w:pPr>
        <w:widowControl/>
        <w:spacing w:beforeLines="50" w:afterLines="50" w:line="520" w:lineRule="exact"/>
        <w:ind w:firstLine="900" w:firstLineChars="3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bCs/>
          <w:kern w:val="0"/>
          <w:sz w:val="30"/>
          <w:szCs w:val="30"/>
        </w:rPr>
        <w:t>(一)</w:t>
      </w:r>
      <w:r>
        <w:rPr>
          <w:rFonts w:hint="eastAsia" w:ascii="仿宋" w:hAnsi="仿宋" w:eastAsia="仿宋" w:cs="仿宋"/>
          <w:kern w:val="0"/>
          <w:sz w:val="30"/>
          <w:szCs w:val="30"/>
        </w:rPr>
        <w:t>根据《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广东药科大学本科学生实习工作条例</w:t>
      </w:r>
      <w:r>
        <w:rPr>
          <w:rFonts w:hint="eastAsia" w:ascii="仿宋" w:hAnsi="仿宋" w:eastAsia="仿宋" w:cs="仿宋"/>
          <w:kern w:val="0"/>
          <w:sz w:val="30"/>
          <w:szCs w:val="30"/>
        </w:rPr>
        <w:t>》（广药大教〔201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kern w:val="0"/>
          <w:sz w:val="30"/>
          <w:szCs w:val="30"/>
        </w:rPr>
        <w:t>〕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30"/>
          <w:szCs w:val="30"/>
        </w:rPr>
        <w:t>号，附件6），学院应制订各专业的实习大纲，</w:t>
      </w:r>
      <w:r>
        <w:rPr>
          <w:rFonts w:hint="eastAsia" w:ascii="仿宋" w:hAnsi="仿宋" w:eastAsia="仿宋" w:cs="仿宋"/>
          <w:sz w:val="30"/>
          <w:szCs w:val="30"/>
        </w:rPr>
        <w:t>做好年度实习计划和巡点计划，每年至少要派人到各教学实习基地巡点1次，并做好巡点记录，填写《广东药科大学实习生情况巡视纪要》。对于</w:t>
      </w:r>
      <w:r>
        <w:rPr>
          <w:rFonts w:hint="eastAsia" w:ascii="仿宋" w:hAnsi="仿宋" w:eastAsia="仿宋" w:cs="仿宋"/>
          <w:kern w:val="0"/>
          <w:sz w:val="30"/>
          <w:szCs w:val="30"/>
        </w:rPr>
        <w:t>学生自行联系实习单位进行分散实习的，学院应</w:t>
      </w:r>
      <w:r>
        <w:rPr>
          <w:rFonts w:hint="eastAsia" w:ascii="仿宋" w:hAnsi="仿宋" w:eastAsia="仿宋" w:cs="仿宋"/>
          <w:sz w:val="30"/>
          <w:szCs w:val="30"/>
        </w:rPr>
        <w:t>严格按照</w:t>
      </w:r>
      <w:r>
        <w:rPr>
          <w:rFonts w:hint="eastAsia" w:ascii="仿宋" w:hAnsi="仿宋" w:eastAsia="仿宋" w:cs="仿宋"/>
          <w:kern w:val="0"/>
          <w:sz w:val="30"/>
          <w:szCs w:val="30"/>
        </w:rPr>
        <w:t>《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广东药科大学本科学生实习工作条例</w:t>
      </w:r>
      <w:r>
        <w:rPr>
          <w:rFonts w:hint="eastAsia" w:ascii="仿宋" w:hAnsi="仿宋" w:eastAsia="仿宋" w:cs="仿宋"/>
          <w:kern w:val="0"/>
          <w:sz w:val="30"/>
          <w:szCs w:val="30"/>
        </w:rPr>
        <w:t>》第五条中关于分散实习管理的有关要求执行，确保学生的实习质量。</w:t>
      </w:r>
    </w:p>
    <w:p>
      <w:pPr>
        <w:widowControl/>
        <w:spacing w:line="520" w:lineRule="exact"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  <w:u w:val="single"/>
        </w:rPr>
      </w:pPr>
      <w:r>
        <w:rPr>
          <w:rFonts w:hint="eastAsia" w:ascii="仿宋" w:hAnsi="仿宋" w:eastAsia="仿宋" w:cs="仿宋"/>
          <w:bCs/>
          <w:kern w:val="0"/>
          <w:sz w:val="30"/>
          <w:szCs w:val="30"/>
        </w:rPr>
        <w:t>(二)</w:t>
      </w:r>
      <w:r>
        <w:rPr>
          <w:rFonts w:hint="eastAsia" w:ascii="仿宋" w:hAnsi="仿宋" w:eastAsia="仿宋" w:cs="仿宋"/>
          <w:kern w:val="0"/>
          <w:sz w:val="30"/>
          <w:szCs w:val="30"/>
        </w:rPr>
        <w:t>学院应在2018年3月31日前全面梳理现有的教学基地情况，对于专业对口、实习条件优良的基地要加强联系，及时续签协议；对于专业针对性不强的单位逐步淘汰。同时，加强与各教学实习基地的交流与合作，稳固彼此之间的关系，为审核评估专家走访教学实习基地做好准备。</w:t>
      </w:r>
    </w:p>
    <w:p>
      <w:pPr>
        <w:spacing w:line="520" w:lineRule="exact"/>
        <w:ind w:left="360"/>
        <w:rPr>
          <w:rFonts w:hint="eastAsia" w:ascii="仿宋" w:hAnsi="仿宋" w:eastAsia="仿宋" w:cs="仿宋"/>
          <w:kern w:val="0"/>
          <w:sz w:val="30"/>
          <w:szCs w:val="30"/>
        </w:rPr>
      </w:pPr>
    </w:p>
    <w:p>
      <w:pPr>
        <w:spacing w:line="520" w:lineRule="exact"/>
        <w:ind w:left="360"/>
        <w:rPr>
          <w:rFonts w:hint="eastAsia" w:ascii="仿宋" w:hAnsi="仿宋" w:eastAsia="仿宋" w:cs="仿宋"/>
          <w:kern w:val="0"/>
          <w:sz w:val="30"/>
          <w:szCs w:val="30"/>
        </w:rPr>
      </w:pPr>
    </w:p>
    <w:p>
      <w:pPr>
        <w:spacing w:line="520" w:lineRule="exact"/>
        <w:ind w:left="360" w:firstLine="4800" w:firstLineChars="1600"/>
        <w:rPr>
          <w:rFonts w:hint="eastAsia" w:ascii="仿宋" w:hAnsi="仿宋" w:eastAsia="仿宋" w:cs="仿宋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广东药科大学教务处</w:t>
      </w:r>
    </w:p>
    <w:p>
      <w:pPr>
        <w:spacing w:line="520" w:lineRule="exact"/>
        <w:ind w:left="360" w:firstLine="5100" w:firstLineChars="1700"/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2018年1月3日</w:t>
      </w:r>
    </w:p>
    <w:p>
      <w:pPr>
        <w:spacing w:line="520" w:lineRule="exact"/>
        <w:ind w:left="360"/>
        <w:rPr>
          <w:rFonts w:hint="eastAsia" w:ascii="仿宋" w:hAnsi="仿宋" w:eastAsia="仿宋" w:cs="仿宋"/>
          <w:kern w:val="0"/>
          <w:sz w:val="30"/>
          <w:szCs w:val="30"/>
        </w:rPr>
      </w:pPr>
    </w:p>
    <w:p>
      <w:pPr>
        <w:spacing w:line="520" w:lineRule="exact"/>
        <w:ind w:left="36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附件：</w:t>
      </w:r>
    </w:p>
    <w:p>
      <w:pPr>
        <w:numPr>
          <w:ilvl w:val="0"/>
          <w:numId w:val="1"/>
        </w:numPr>
        <w:spacing w:line="520" w:lineRule="exact"/>
        <w:ind w:left="36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《</w:t>
      </w:r>
      <w:r>
        <w:rPr>
          <w:rFonts w:hint="eastAsia" w:ascii="仿宋" w:hAnsi="仿宋" w:eastAsia="仿宋" w:cs="仿宋"/>
          <w:kern w:val="0"/>
          <w:sz w:val="30"/>
          <w:szCs w:val="30"/>
        </w:rPr>
        <w:t>广东药科大学课堂教学规范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》</w:t>
      </w:r>
    </w:p>
    <w:p>
      <w:pPr>
        <w:numPr>
          <w:ilvl w:val="0"/>
          <w:numId w:val="1"/>
        </w:numPr>
        <w:spacing w:line="520" w:lineRule="exact"/>
        <w:ind w:left="36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《广东药科大学本科实验教学管理办法》</w:t>
      </w:r>
    </w:p>
    <w:p>
      <w:pPr>
        <w:numPr>
          <w:ilvl w:val="0"/>
          <w:numId w:val="1"/>
        </w:numPr>
        <w:spacing w:line="520" w:lineRule="exact"/>
        <w:ind w:left="36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《</w:t>
      </w:r>
      <w:r>
        <w:rPr>
          <w:rFonts w:hint="eastAsia" w:ascii="仿宋" w:hAnsi="仿宋" w:eastAsia="仿宋" w:cs="仿宋"/>
          <w:kern w:val="0"/>
          <w:sz w:val="30"/>
          <w:szCs w:val="30"/>
        </w:rPr>
        <w:t>广东药科大学三级听课制度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》</w:t>
      </w:r>
    </w:p>
    <w:p>
      <w:pPr>
        <w:pStyle w:val="14"/>
        <w:spacing w:line="520" w:lineRule="exact"/>
        <w:ind w:firstLine="300" w:firstLineChars="100"/>
        <w:jc w:val="left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eastAsia="zh-CN" w:bidi="ar-SA"/>
        </w:rPr>
        <w:t>4. 《广东药科大学学生成绩考核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管理规定（修订）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 w:bidi="ar-SA"/>
        </w:rPr>
        <w:t>》</w:t>
      </w:r>
    </w:p>
    <w:p>
      <w:pPr>
        <w:pStyle w:val="14"/>
        <w:spacing w:line="520" w:lineRule="exact"/>
        <w:ind w:firstLine="300" w:firstLineChars="100"/>
        <w:jc w:val="left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eastAsia="zh-CN" w:bidi="ar-SA"/>
        </w:rPr>
        <w:t>5.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 xml:space="preserve"> 《广东药科大学本科毕业论文（设计）工作条例》</w:t>
      </w:r>
    </w:p>
    <w:p>
      <w:pPr>
        <w:pStyle w:val="11"/>
        <w:spacing w:line="520" w:lineRule="exact"/>
        <w:ind w:firstLine="300" w:firstLineChars="1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6. 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《广东药科大学本科学生实习工作条例》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文鼎小标宋简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Aharoni">
    <w:panose1 w:val="02010803020104030203"/>
    <w:charset w:val="00"/>
    <w:family w:val="auto"/>
    <w:pitch w:val="default"/>
    <w:sig w:usb0="00000801" w:usb1="00000000" w:usb2="00000000" w:usb3="00000000" w:csb0="00000020" w:csb1="00200000"/>
  </w:font>
  <w:font w:name="Andalus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44400481"/>
    </w:sdtPr>
    <w:sdtContent>
      <w:p>
        <w:pPr>
          <w:pStyle w:val="3"/>
          <w:jc w:val="center"/>
          <w:rPr>
            <w:rFonts w:hint="default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rFonts w:hint="default"/>
            <w:lang w:val="zh-CN"/>
          </w:rPr>
          <w:t>4</w:t>
        </w:r>
        <w:r>
          <w:fldChar w:fldCharType="end"/>
        </w:r>
      </w:p>
    </w:sdtContent>
  </w:sdt>
  <w:p>
    <w:pPr>
      <w:pStyle w:val="3"/>
      <w:rPr>
        <w:rFonts w:hint="default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0A31F"/>
    <w:multiLevelType w:val="singleLevel"/>
    <w:tmpl w:val="5A40A31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2265B"/>
    <w:rsid w:val="000004B9"/>
    <w:rsid w:val="000264CC"/>
    <w:rsid w:val="000354D0"/>
    <w:rsid w:val="000370FA"/>
    <w:rsid w:val="00043DA3"/>
    <w:rsid w:val="000518CD"/>
    <w:rsid w:val="00070F55"/>
    <w:rsid w:val="00075902"/>
    <w:rsid w:val="00083B50"/>
    <w:rsid w:val="000847FF"/>
    <w:rsid w:val="000D000C"/>
    <w:rsid w:val="00104B9E"/>
    <w:rsid w:val="00106AA4"/>
    <w:rsid w:val="001106C2"/>
    <w:rsid w:val="00120BFB"/>
    <w:rsid w:val="001255CF"/>
    <w:rsid w:val="00126A41"/>
    <w:rsid w:val="001314D5"/>
    <w:rsid w:val="00142676"/>
    <w:rsid w:val="0016795C"/>
    <w:rsid w:val="001732BE"/>
    <w:rsid w:val="001A0A1B"/>
    <w:rsid w:val="001C22FE"/>
    <w:rsid w:val="001C372D"/>
    <w:rsid w:val="001C4D98"/>
    <w:rsid w:val="00232A94"/>
    <w:rsid w:val="002467BB"/>
    <w:rsid w:val="00265077"/>
    <w:rsid w:val="00265CE0"/>
    <w:rsid w:val="002D2B43"/>
    <w:rsid w:val="002D4442"/>
    <w:rsid w:val="002E15C6"/>
    <w:rsid w:val="002F0383"/>
    <w:rsid w:val="003117C4"/>
    <w:rsid w:val="00326ADC"/>
    <w:rsid w:val="003376AD"/>
    <w:rsid w:val="00343793"/>
    <w:rsid w:val="00362D27"/>
    <w:rsid w:val="003A4EE6"/>
    <w:rsid w:val="003C146E"/>
    <w:rsid w:val="003E0FDD"/>
    <w:rsid w:val="00417403"/>
    <w:rsid w:val="00420494"/>
    <w:rsid w:val="00427878"/>
    <w:rsid w:val="004365A5"/>
    <w:rsid w:val="00436BA2"/>
    <w:rsid w:val="00441A45"/>
    <w:rsid w:val="00452354"/>
    <w:rsid w:val="00475252"/>
    <w:rsid w:val="0048704B"/>
    <w:rsid w:val="00497788"/>
    <w:rsid w:val="004A3E44"/>
    <w:rsid w:val="004A405B"/>
    <w:rsid w:val="004B2E5B"/>
    <w:rsid w:val="004C0B9B"/>
    <w:rsid w:val="004C3634"/>
    <w:rsid w:val="00527746"/>
    <w:rsid w:val="005278C6"/>
    <w:rsid w:val="00535965"/>
    <w:rsid w:val="00540521"/>
    <w:rsid w:val="00541136"/>
    <w:rsid w:val="00541327"/>
    <w:rsid w:val="00564F4B"/>
    <w:rsid w:val="00571272"/>
    <w:rsid w:val="00575A3B"/>
    <w:rsid w:val="00593FF3"/>
    <w:rsid w:val="00595E65"/>
    <w:rsid w:val="005A5519"/>
    <w:rsid w:val="005B34C7"/>
    <w:rsid w:val="005C25FF"/>
    <w:rsid w:val="005E620D"/>
    <w:rsid w:val="005F0653"/>
    <w:rsid w:val="00617152"/>
    <w:rsid w:val="00632595"/>
    <w:rsid w:val="00655B6D"/>
    <w:rsid w:val="006B377A"/>
    <w:rsid w:val="006B6FE4"/>
    <w:rsid w:val="006E1BCE"/>
    <w:rsid w:val="006F0912"/>
    <w:rsid w:val="00700706"/>
    <w:rsid w:val="00714AA4"/>
    <w:rsid w:val="00747014"/>
    <w:rsid w:val="00751124"/>
    <w:rsid w:val="00795076"/>
    <w:rsid w:val="007978A4"/>
    <w:rsid w:val="007C6C1F"/>
    <w:rsid w:val="007D7953"/>
    <w:rsid w:val="007E1141"/>
    <w:rsid w:val="00814D2E"/>
    <w:rsid w:val="008267B6"/>
    <w:rsid w:val="0086024D"/>
    <w:rsid w:val="0086731F"/>
    <w:rsid w:val="00873A72"/>
    <w:rsid w:val="00882406"/>
    <w:rsid w:val="00896EFA"/>
    <w:rsid w:val="008A6F6F"/>
    <w:rsid w:val="008D5E0C"/>
    <w:rsid w:val="008E34B7"/>
    <w:rsid w:val="0090023F"/>
    <w:rsid w:val="009249D2"/>
    <w:rsid w:val="0093792F"/>
    <w:rsid w:val="009471E4"/>
    <w:rsid w:val="00993F9F"/>
    <w:rsid w:val="00997CFA"/>
    <w:rsid w:val="009A6900"/>
    <w:rsid w:val="009B39C1"/>
    <w:rsid w:val="009C3A14"/>
    <w:rsid w:val="009D4B16"/>
    <w:rsid w:val="00A2265B"/>
    <w:rsid w:val="00A602AB"/>
    <w:rsid w:val="00A77175"/>
    <w:rsid w:val="00A86B2E"/>
    <w:rsid w:val="00A90ABB"/>
    <w:rsid w:val="00AA3252"/>
    <w:rsid w:val="00AE66ED"/>
    <w:rsid w:val="00AF7A5C"/>
    <w:rsid w:val="00B23D87"/>
    <w:rsid w:val="00B452B0"/>
    <w:rsid w:val="00B45F00"/>
    <w:rsid w:val="00B5124C"/>
    <w:rsid w:val="00B55F62"/>
    <w:rsid w:val="00B611BC"/>
    <w:rsid w:val="00B6265C"/>
    <w:rsid w:val="00B649ED"/>
    <w:rsid w:val="00BA45CF"/>
    <w:rsid w:val="00BA469E"/>
    <w:rsid w:val="00BC3752"/>
    <w:rsid w:val="00BD1893"/>
    <w:rsid w:val="00BD4C6D"/>
    <w:rsid w:val="00C76372"/>
    <w:rsid w:val="00C93D53"/>
    <w:rsid w:val="00C95EC8"/>
    <w:rsid w:val="00CD5E14"/>
    <w:rsid w:val="00CE40DB"/>
    <w:rsid w:val="00D022A5"/>
    <w:rsid w:val="00D1055D"/>
    <w:rsid w:val="00D32D17"/>
    <w:rsid w:val="00D41C43"/>
    <w:rsid w:val="00D46E40"/>
    <w:rsid w:val="00D733F9"/>
    <w:rsid w:val="00D934E6"/>
    <w:rsid w:val="00DE1C7E"/>
    <w:rsid w:val="00DF0014"/>
    <w:rsid w:val="00DF2471"/>
    <w:rsid w:val="00E5449D"/>
    <w:rsid w:val="00EA031E"/>
    <w:rsid w:val="00EA2CAC"/>
    <w:rsid w:val="00EA5E08"/>
    <w:rsid w:val="00EF7282"/>
    <w:rsid w:val="00F21070"/>
    <w:rsid w:val="00F27967"/>
    <w:rsid w:val="00F37330"/>
    <w:rsid w:val="00F431E8"/>
    <w:rsid w:val="00F6374F"/>
    <w:rsid w:val="00F83C58"/>
    <w:rsid w:val="00FA1837"/>
    <w:rsid w:val="00FC48DC"/>
    <w:rsid w:val="00FC6E6E"/>
    <w:rsid w:val="027A7EEA"/>
    <w:rsid w:val="042C0A1B"/>
    <w:rsid w:val="04BC1332"/>
    <w:rsid w:val="04D97B52"/>
    <w:rsid w:val="05023A56"/>
    <w:rsid w:val="074A58D8"/>
    <w:rsid w:val="08AD6B4A"/>
    <w:rsid w:val="0949050B"/>
    <w:rsid w:val="0BD07E26"/>
    <w:rsid w:val="0D6405D2"/>
    <w:rsid w:val="0D7C4645"/>
    <w:rsid w:val="0E2C7C74"/>
    <w:rsid w:val="0EC25203"/>
    <w:rsid w:val="0F144327"/>
    <w:rsid w:val="0F7359F5"/>
    <w:rsid w:val="10037CC3"/>
    <w:rsid w:val="109975C0"/>
    <w:rsid w:val="12634D20"/>
    <w:rsid w:val="13BF51E9"/>
    <w:rsid w:val="14852D23"/>
    <w:rsid w:val="14A45DEB"/>
    <w:rsid w:val="16A625F7"/>
    <w:rsid w:val="18A71F7B"/>
    <w:rsid w:val="1AF713C5"/>
    <w:rsid w:val="1CEB0E55"/>
    <w:rsid w:val="1D2962EC"/>
    <w:rsid w:val="1E443805"/>
    <w:rsid w:val="1E6E2C71"/>
    <w:rsid w:val="1F17364C"/>
    <w:rsid w:val="1FDB60FA"/>
    <w:rsid w:val="1FFB1882"/>
    <w:rsid w:val="21A523DC"/>
    <w:rsid w:val="229C5C67"/>
    <w:rsid w:val="22C605F7"/>
    <w:rsid w:val="2377225F"/>
    <w:rsid w:val="244F6325"/>
    <w:rsid w:val="2513739D"/>
    <w:rsid w:val="25F83881"/>
    <w:rsid w:val="267B21EE"/>
    <w:rsid w:val="27AF50CE"/>
    <w:rsid w:val="27F67F90"/>
    <w:rsid w:val="28C24781"/>
    <w:rsid w:val="28EA6ACC"/>
    <w:rsid w:val="2AD712EE"/>
    <w:rsid w:val="2CEC1C31"/>
    <w:rsid w:val="2D520312"/>
    <w:rsid w:val="2E8C246B"/>
    <w:rsid w:val="31286E52"/>
    <w:rsid w:val="33330E3E"/>
    <w:rsid w:val="33460D8C"/>
    <w:rsid w:val="34E665AC"/>
    <w:rsid w:val="35430B1F"/>
    <w:rsid w:val="35C55799"/>
    <w:rsid w:val="36287CA5"/>
    <w:rsid w:val="374A07F3"/>
    <w:rsid w:val="37A35055"/>
    <w:rsid w:val="39604C46"/>
    <w:rsid w:val="3C3261B1"/>
    <w:rsid w:val="40362370"/>
    <w:rsid w:val="43482A02"/>
    <w:rsid w:val="435E54BE"/>
    <w:rsid w:val="43C01030"/>
    <w:rsid w:val="441E3D09"/>
    <w:rsid w:val="45C9563B"/>
    <w:rsid w:val="45F2620B"/>
    <w:rsid w:val="46272ED2"/>
    <w:rsid w:val="47D03877"/>
    <w:rsid w:val="47F94B7C"/>
    <w:rsid w:val="48D3318F"/>
    <w:rsid w:val="49467843"/>
    <w:rsid w:val="4C8B4A04"/>
    <w:rsid w:val="4D0C17ED"/>
    <w:rsid w:val="5003573D"/>
    <w:rsid w:val="5028155E"/>
    <w:rsid w:val="5114632A"/>
    <w:rsid w:val="5142015D"/>
    <w:rsid w:val="51F376A7"/>
    <w:rsid w:val="5285717E"/>
    <w:rsid w:val="53385C4B"/>
    <w:rsid w:val="53504349"/>
    <w:rsid w:val="53DA6020"/>
    <w:rsid w:val="545F387F"/>
    <w:rsid w:val="562731B8"/>
    <w:rsid w:val="57D06D3A"/>
    <w:rsid w:val="58350753"/>
    <w:rsid w:val="5A8E64F6"/>
    <w:rsid w:val="5AC84D03"/>
    <w:rsid w:val="5C466723"/>
    <w:rsid w:val="5C827DB4"/>
    <w:rsid w:val="5CB61232"/>
    <w:rsid w:val="5D043D85"/>
    <w:rsid w:val="5D452D7D"/>
    <w:rsid w:val="5F851513"/>
    <w:rsid w:val="624E0B34"/>
    <w:rsid w:val="63EA4DA8"/>
    <w:rsid w:val="646765D6"/>
    <w:rsid w:val="654B617E"/>
    <w:rsid w:val="670B1E13"/>
    <w:rsid w:val="685938E0"/>
    <w:rsid w:val="685A093C"/>
    <w:rsid w:val="68CB5A16"/>
    <w:rsid w:val="698A14C6"/>
    <w:rsid w:val="6A8C513F"/>
    <w:rsid w:val="6B0A7F0A"/>
    <w:rsid w:val="6BA76FA3"/>
    <w:rsid w:val="6BD618E5"/>
    <w:rsid w:val="6E851FC8"/>
    <w:rsid w:val="6EE500E5"/>
    <w:rsid w:val="716B4A75"/>
    <w:rsid w:val="719D1833"/>
    <w:rsid w:val="73DD1E32"/>
    <w:rsid w:val="74B17FDA"/>
    <w:rsid w:val="750D60D6"/>
    <w:rsid w:val="771755C3"/>
    <w:rsid w:val="780A49A2"/>
    <w:rsid w:val="796D258E"/>
    <w:rsid w:val="7A106347"/>
    <w:rsid w:val="7AF30A6A"/>
    <w:rsid w:val="7C022AD2"/>
    <w:rsid w:val="7C462A1D"/>
    <w:rsid w:val="7C9A4CC4"/>
    <w:rsid w:val="7D2316F2"/>
    <w:rsid w:val="7E3E13B6"/>
    <w:rsid w:val="7EC56322"/>
    <w:rsid w:val="7F7B7B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hint="default" w:ascii="宋体" w:hAnsi="宋体" w:eastAsia="宋体" w:cs="宋体"/>
      <w:color w:val="auto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Emphasis"/>
    <w:basedOn w:val="6"/>
    <w:qFormat/>
    <w:uiPriority w:val="20"/>
    <w:rPr>
      <w:i/>
      <w:iCs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6"/>
    <w:link w:val="4"/>
    <w:qFormat/>
    <w:uiPriority w:val="99"/>
    <w:rPr>
      <w:rFonts w:ascii="Arial Unicode MS" w:hAnsi="Arial Unicode MS" w:eastAsia="Times New Roman" w:cs="Arial Unicode MS"/>
      <w:color w:val="000000"/>
      <w:kern w:val="2"/>
      <w:sz w:val="18"/>
      <w:szCs w:val="18"/>
      <w:u w:color="000000"/>
    </w:rPr>
  </w:style>
  <w:style w:type="character" w:customStyle="1" w:styleId="13">
    <w:name w:val="页脚 Char"/>
    <w:basedOn w:val="6"/>
    <w:link w:val="3"/>
    <w:qFormat/>
    <w:uiPriority w:val="99"/>
    <w:rPr>
      <w:rFonts w:ascii="Arial Unicode MS" w:hAnsi="Arial Unicode MS" w:eastAsia="Times New Roman" w:cs="Arial Unicode MS"/>
      <w:color w:val="000000"/>
      <w:kern w:val="2"/>
      <w:sz w:val="18"/>
      <w:szCs w:val="18"/>
      <w:u w:color="000000"/>
    </w:rPr>
  </w:style>
  <w:style w:type="paragraph" w:customStyle="1" w:styleId="14">
    <w:name w:val="样式1"/>
    <w:basedOn w:val="1"/>
    <w:link w:val="15"/>
    <w:qFormat/>
    <w:uiPriority w:val="0"/>
    <w:pPr>
      <w:snapToGrid w:val="0"/>
      <w:spacing w:line="640" w:lineRule="exact"/>
      <w:jc w:val="center"/>
    </w:pPr>
    <w:rPr>
      <w:rFonts w:hint="default" w:ascii="宋体" w:hAnsi="宋体" w:eastAsia="文鼎小标宋简" w:cs="宋体"/>
      <w:color w:val="auto"/>
      <w:kern w:val="0"/>
      <w:sz w:val="44"/>
      <w:szCs w:val="32"/>
      <w:lang w:eastAsia="en-US" w:bidi="en-US"/>
    </w:rPr>
  </w:style>
  <w:style w:type="character" w:customStyle="1" w:styleId="15">
    <w:name w:val="样式1 Char"/>
    <w:basedOn w:val="6"/>
    <w:link w:val="14"/>
    <w:qFormat/>
    <w:uiPriority w:val="0"/>
    <w:rPr>
      <w:rFonts w:ascii="宋体" w:hAnsi="宋体" w:eastAsia="文鼎小标宋简" w:cs="宋体"/>
      <w:sz w:val="44"/>
      <w:szCs w:val="32"/>
      <w:lang w:eastAsia="en-US" w:bidi="en-US"/>
    </w:rPr>
  </w:style>
  <w:style w:type="character" w:customStyle="1" w:styleId="16">
    <w:name w:val="批注框文本 Char"/>
    <w:basedOn w:val="6"/>
    <w:link w:val="2"/>
    <w:semiHidden/>
    <w:qFormat/>
    <w:uiPriority w:val="99"/>
    <w:rPr>
      <w:rFonts w:ascii="Arial Unicode MS" w:hAnsi="Arial Unicode MS" w:eastAsia="Times New Roman" w:cs="Arial Unicode MS"/>
      <w:color w:val="000000"/>
      <w:kern w:val="2"/>
      <w:sz w:val="18"/>
      <w:szCs w:val="18"/>
      <w:u w:color="00000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436</Words>
  <Characters>2486</Characters>
  <Lines>20</Lines>
  <Paragraphs>5</Paragraphs>
  <ScaleCrop>false</ScaleCrop>
  <LinksUpToDate>false</LinksUpToDate>
  <CharactersWithSpaces>2917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2017-12-23T02:15:00Z</dcterms:created>
  <dc:creator>USER</dc:creator>
  <cp:lastModifiedBy>Administrator</cp:lastModifiedBy>
  <cp:lastPrinted>2018-01-04T02:09:06Z</cp:lastPrinted>
  <dcterms:modified xsi:type="dcterms:W3CDTF">2018-01-04T09:00:10Z</dcterms:modified>
  <cp:revision>114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